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CACEF" w14:textId="2659C889" w:rsidR="00226AB8" w:rsidRDefault="00226AB8" w:rsidP="00226AB8">
      <w:pPr>
        <w:spacing w:after="0"/>
        <w:jc w:val="both"/>
        <w:rPr>
          <w:noProof/>
          <w:sz w:val="36"/>
          <w:szCs w:val="36"/>
          <w14:ligatures w14:val="standardContextual"/>
        </w:rPr>
      </w:pPr>
      <w:r>
        <w:rPr>
          <w:noProof/>
          <w:sz w:val="36"/>
          <w:szCs w:val="36"/>
          <w14:ligatures w14:val="standardContextual"/>
        </w:rPr>
        <w:t xml:space="preserve">                       </w:t>
      </w:r>
    </w:p>
    <w:p w14:paraId="177E33C2" w14:textId="77777777" w:rsidR="00336FAE" w:rsidRDefault="000C15B9" w:rsidP="000C15B9">
      <w:pPr>
        <w:spacing w:after="0"/>
        <w:jc w:val="center"/>
        <w:rPr>
          <w:noProof/>
          <w:sz w:val="36"/>
          <w:szCs w:val="36"/>
          <w14:ligatures w14:val="standardContextual"/>
        </w:rPr>
      </w:pPr>
      <w:r>
        <w:rPr>
          <w:noProof/>
          <w:sz w:val="36"/>
          <w:szCs w:val="36"/>
          <w:lang w:eastAsia="ru-RU"/>
          <w14:ligatures w14:val="standardContextual"/>
        </w:rPr>
        <w:drawing>
          <wp:inline distT="0" distB="0" distL="0" distR="0" wp14:anchorId="06894400" wp14:editId="5F5FB898">
            <wp:extent cx="5730240" cy="2002971"/>
            <wp:effectExtent l="0" t="0" r="3810" b="0"/>
            <wp:docPr id="6971608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60883" name="Рисунок 6971608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606" cy="201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3289B" w14:textId="05C1D97D" w:rsidR="00336FAE" w:rsidRDefault="00336FAE" w:rsidP="0069396E">
      <w:pPr>
        <w:spacing w:after="0"/>
        <w:rPr>
          <w:noProof/>
          <w:sz w:val="36"/>
          <w:szCs w:val="36"/>
          <w14:ligatures w14:val="standardContextual"/>
        </w:rPr>
      </w:pPr>
      <w:bookmarkStart w:id="0" w:name="_GoBack"/>
      <w:bookmarkEnd w:id="0"/>
    </w:p>
    <w:p w14:paraId="507EECCC" w14:textId="4A3C48CE" w:rsidR="00226AB8" w:rsidRPr="00226AB8" w:rsidRDefault="00226AB8" w:rsidP="0069396E">
      <w:pPr>
        <w:spacing w:after="0"/>
        <w:jc w:val="center"/>
        <w:rPr>
          <w:noProof/>
          <w:sz w:val="36"/>
          <w:szCs w:val="36"/>
          <w14:ligatures w14:val="standardContextual"/>
        </w:rPr>
      </w:pPr>
      <w:r w:rsidRPr="00226AB8">
        <w:rPr>
          <w:noProof/>
          <w:sz w:val="36"/>
          <w:szCs w:val="36"/>
          <w14:ligatures w14:val="standardContextual"/>
        </w:rPr>
        <w:t>П</w:t>
      </w:r>
      <w:r>
        <w:rPr>
          <w:noProof/>
          <w:sz w:val="36"/>
          <w:szCs w:val="36"/>
          <w14:ligatures w14:val="standardContextual"/>
        </w:rPr>
        <w:t>РИМОРСКАЯ МЕЖРАЙОННАЯ</w:t>
      </w:r>
      <w:r w:rsidR="0069396E">
        <w:rPr>
          <w:noProof/>
          <w:sz w:val="36"/>
          <w:szCs w:val="36"/>
          <w14:ligatures w14:val="standardContextual"/>
        </w:rPr>
        <w:t xml:space="preserve"> </w:t>
      </w:r>
      <w:r>
        <w:rPr>
          <w:noProof/>
          <w:sz w:val="36"/>
          <w:szCs w:val="36"/>
          <w14:ligatures w14:val="standardContextual"/>
        </w:rPr>
        <w:t>ПРОКУРАТУРА</w:t>
      </w:r>
    </w:p>
    <w:p w14:paraId="006F9EB6" w14:textId="0D2C99B4" w:rsidR="00226AB8" w:rsidRPr="000A1481" w:rsidRDefault="00226AB8" w:rsidP="000A1481">
      <w:pPr>
        <w:spacing w:after="0"/>
        <w:ind w:firstLine="709"/>
        <w:jc w:val="both"/>
        <w:rPr>
          <w:noProof/>
          <w:sz w:val="36"/>
          <w:szCs w:val="36"/>
          <w14:ligatures w14:val="standardContextual"/>
        </w:rPr>
      </w:pPr>
      <w:r>
        <w:rPr>
          <w:noProof/>
          <w:sz w:val="36"/>
          <w:szCs w:val="36"/>
          <w14:ligatures w14:val="standardContextual"/>
        </w:rPr>
        <w:t xml:space="preserve">                    </w:t>
      </w:r>
      <w:r w:rsidR="000C15B9">
        <w:rPr>
          <w:noProof/>
          <w:sz w:val="36"/>
          <w:szCs w:val="36"/>
          <w14:ligatures w14:val="standardContextual"/>
        </w:rPr>
        <w:t xml:space="preserve">    </w:t>
      </w:r>
      <w:r>
        <w:rPr>
          <w:noProof/>
          <w:sz w:val="36"/>
          <w:szCs w:val="36"/>
          <w14:ligatures w14:val="standardContextual"/>
        </w:rPr>
        <w:t xml:space="preserve"> </w:t>
      </w:r>
      <w:r w:rsidR="000C15B9">
        <w:rPr>
          <w:noProof/>
          <w:sz w:val="36"/>
          <w:szCs w:val="36"/>
          <w14:ligatures w14:val="standardContextual"/>
        </w:rPr>
        <w:t>ПРЕДУПРЕЖДАЕТ</w:t>
      </w:r>
      <w:r w:rsidR="0069396E">
        <w:rPr>
          <w:noProof/>
          <w:sz w:val="36"/>
          <w:szCs w:val="36"/>
          <w14:ligatures w14:val="standardContextual"/>
        </w:rPr>
        <w:t>!</w:t>
      </w:r>
    </w:p>
    <w:p w14:paraId="7DA98B3A" w14:textId="68D14587" w:rsidR="00226AB8" w:rsidRPr="000A1481" w:rsidRDefault="000A1481" w:rsidP="000A1481">
      <w:pPr>
        <w:spacing w:after="0"/>
        <w:ind w:left="142" w:right="140"/>
        <w:jc w:val="both"/>
        <w:rPr>
          <w:noProof/>
          <w14:ligatures w14:val="standardContextual"/>
        </w:rPr>
      </w:pPr>
      <w:r w:rsidRPr="00B935C8">
        <w:rPr>
          <w:noProof/>
          <w:sz w:val="56"/>
          <w:szCs w:val="56"/>
          <w:lang w:eastAsia="ru-RU"/>
          <w14:ligatures w14:val="standardContextual"/>
        </w:rPr>
        <w:drawing>
          <wp:inline distT="0" distB="0" distL="0" distR="0" wp14:anchorId="2A671B2B" wp14:editId="29BA888B">
            <wp:extent cx="5740873" cy="3135392"/>
            <wp:effectExtent l="0" t="0" r="0" b="8255"/>
            <wp:docPr id="309735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3589" name="Рисунок 309735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724" cy="315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0A1481" w:rsidRPr="000A1481" w14:paraId="43879FFF" w14:textId="77777777" w:rsidTr="000A1481">
        <w:trPr>
          <w:trHeight w:val="5141"/>
        </w:trPr>
        <w:tc>
          <w:tcPr>
            <w:tcW w:w="9072" w:type="dxa"/>
          </w:tcPr>
          <w:p w14:paraId="29414FE0" w14:textId="248988BB" w:rsidR="000A1481" w:rsidRPr="00D11691" w:rsidRDefault="000A1481" w:rsidP="000A1481">
            <w:pPr>
              <w:ind w:right="140"/>
              <w:jc w:val="center"/>
              <w:outlineLvl w:val="2"/>
              <w:rPr>
                <w:rFonts w:ascii="Cambria Math" w:eastAsia="Times New Roman" w:hAnsi="Cambria Math" w:cs="Times New Roman"/>
                <w:b/>
                <w:bCs/>
                <w:color w:val="FF0000"/>
                <w:sz w:val="56"/>
                <w:szCs w:val="56"/>
              </w:rPr>
            </w:pPr>
            <w:r w:rsidRPr="00D11691">
              <w:rPr>
                <w:rFonts w:ascii="Cambria Math" w:eastAsia="Times New Roman" w:hAnsi="Cambria Math" w:cs="Times New Roman"/>
                <w:b/>
                <w:bCs/>
                <w:color w:val="FF0000"/>
                <w:sz w:val="56"/>
                <w:szCs w:val="56"/>
              </w:rPr>
              <w:t>НЕЛЬЗЯ:</w:t>
            </w:r>
          </w:p>
          <w:p w14:paraId="6AE56377" w14:textId="19AA0249" w:rsidR="000A1481" w:rsidRPr="00D11691" w:rsidRDefault="000A1481" w:rsidP="000A1481">
            <w:pPr>
              <w:ind w:right="140"/>
              <w:jc w:val="both"/>
              <w:outlineLvl w:val="2"/>
              <w:rPr>
                <w:rFonts w:ascii="Cambria Math" w:eastAsia="Times New Roman" w:hAnsi="Cambria Math" w:cs="Times New Roman"/>
                <w:b/>
                <w:bCs/>
                <w:sz w:val="40"/>
                <w:szCs w:val="40"/>
              </w:rPr>
            </w:pPr>
            <w:r w:rsidRPr="00D11691">
              <w:rPr>
                <w:rFonts w:ascii="Cambria Math" w:eastAsia="Times New Roman" w:hAnsi="Cambria Math" w:cs="Times New Roman"/>
                <w:b/>
                <w:bCs/>
                <w:sz w:val="40"/>
                <w:szCs w:val="40"/>
              </w:rPr>
              <w:t>- подходить на близкое расстояние к опасному объекту</w:t>
            </w:r>
          </w:p>
          <w:p w14:paraId="2A265801" w14:textId="62900439" w:rsidR="000A1481" w:rsidRPr="00D11691" w:rsidRDefault="000A1481" w:rsidP="000A1481">
            <w:pPr>
              <w:ind w:right="140"/>
              <w:jc w:val="both"/>
              <w:outlineLvl w:val="2"/>
              <w:rPr>
                <w:rFonts w:ascii="Cambria Math" w:eastAsia="Times New Roman" w:hAnsi="Cambria Math" w:cs="Times New Roman"/>
                <w:b/>
                <w:bCs/>
                <w:sz w:val="40"/>
                <w:szCs w:val="40"/>
              </w:rPr>
            </w:pPr>
            <w:r w:rsidRPr="00D11691">
              <w:rPr>
                <w:rFonts w:ascii="Cambria Math" w:eastAsia="Times New Roman" w:hAnsi="Cambria Math" w:cs="Times New Roman"/>
                <w:b/>
                <w:bCs/>
                <w:sz w:val="40"/>
                <w:szCs w:val="40"/>
              </w:rPr>
              <w:t>- перемещать обломки</w:t>
            </w:r>
          </w:p>
          <w:p w14:paraId="49FEE25D" w14:textId="4B4F3245" w:rsidR="000A1481" w:rsidRPr="00D11691" w:rsidRDefault="000A1481" w:rsidP="000A1481">
            <w:pPr>
              <w:ind w:right="140"/>
              <w:jc w:val="both"/>
              <w:outlineLvl w:val="2"/>
              <w:rPr>
                <w:rFonts w:ascii="Cambria Math" w:eastAsia="Times New Roman" w:hAnsi="Cambria Math" w:cs="Times New Roman"/>
                <w:b/>
                <w:bCs/>
                <w:sz w:val="40"/>
                <w:szCs w:val="40"/>
              </w:rPr>
            </w:pPr>
            <w:r w:rsidRPr="00D11691">
              <w:rPr>
                <w:rFonts w:ascii="Cambria Math" w:eastAsia="Times New Roman" w:hAnsi="Cambria Math" w:cs="Times New Roman"/>
                <w:b/>
                <w:bCs/>
                <w:sz w:val="40"/>
                <w:szCs w:val="40"/>
              </w:rPr>
              <w:t>- фотографироваться на высоте</w:t>
            </w:r>
          </w:p>
          <w:p w14:paraId="38484DB8" w14:textId="175C6897" w:rsidR="000A1481" w:rsidRPr="00D11691" w:rsidRDefault="000A1481" w:rsidP="000A1481">
            <w:pPr>
              <w:ind w:right="140"/>
              <w:jc w:val="both"/>
              <w:outlineLvl w:val="2"/>
              <w:rPr>
                <w:rFonts w:ascii="Cambria Math" w:eastAsia="Times New Roman" w:hAnsi="Cambria Math" w:cs="Times New Roman"/>
                <w:b/>
                <w:bCs/>
                <w:sz w:val="40"/>
                <w:szCs w:val="40"/>
              </w:rPr>
            </w:pPr>
            <w:r w:rsidRPr="00D11691">
              <w:rPr>
                <w:rFonts w:ascii="Cambria Math" w:eastAsia="Times New Roman" w:hAnsi="Cambria Math" w:cs="Times New Roman"/>
                <w:b/>
                <w:bCs/>
                <w:sz w:val="40"/>
                <w:szCs w:val="40"/>
              </w:rPr>
              <w:t>- входить в затопленные помещения и проходить рядом с проводами</w:t>
            </w:r>
          </w:p>
          <w:p w14:paraId="23778B2F" w14:textId="77777777" w:rsidR="000A1481" w:rsidRPr="00D11691" w:rsidRDefault="000A1481" w:rsidP="000A1481">
            <w:pPr>
              <w:ind w:right="140"/>
              <w:jc w:val="both"/>
              <w:outlineLvl w:val="2"/>
              <w:rPr>
                <w:rFonts w:ascii="Cambria Math" w:eastAsia="Times New Roman" w:hAnsi="Cambria Math" w:cs="Times New Roman"/>
                <w:b/>
                <w:bCs/>
                <w:sz w:val="40"/>
                <w:szCs w:val="40"/>
              </w:rPr>
            </w:pPr>
            <w:r w:rsidRPr="00D11691">
              <w:rPr>
                <w:rFonts w:ascii="Cambria Math" w:eastAsia="Times New Roman" w:hAnsi="Cambria Math" w:cs="Times New Roman"/>
                <w:b/>
                <w:bCs/>
                <w:sz w:val="40"/>
                <w:szCs w:val="40"/>
              </w:rPr>
              <w:t>- пользоваться огнем на заброшенных объектах</w:t>
            </w:r>
          </w:p>
          <w:p w14:paraId="61EA0A71" w14:textId="77777777" w:rsidR="000A1481" w:rsidRPr="00D11691" w:rsidRDefault="000A1481" w:rsidP="000A1481">
            <w:pPr>
              <w:ind w:right="140"/>
              <w:jc w:val="center"/>
              <w:outlineLvl w:val="2"/>
              <w:rPr>
                <w:rFonts w:ascii="Cambria Math" w:eastAsia="Times New Roman" w:hAnsi="Cambria Math" w:cs="Times New Roman"/>
                <w:b/>
                <w:bCs/>
                <w:color w:val="FF0000"/>
                <w:sz w:val="40"/>
                <w:szCs w:val="40"/>
              </w:rPr>
            </w:pPr>
          </w:p>
          <w:p w14:paraId="3F9B4A8C" w14:textId="4F253834" w:rsidR="000A1481" w:rsidRPr="000A1481" w:rsidRDefault="000A1481" w:rsidP="000A1481">
            <w:pPr>
              <w:ind w:right="140"/>
              <w:jc w:val="center"/>
              <w:outlineLvl w:val="2"/>
              <w:rPr>
                <w:rFonts w:ascii="Bahnschrift SemiBold Condensed" w:eastAsia="Times New Roman" w:hAnsi="Bahnschrift SemiBold Condensed" w:cs="Times New Roman"/>
                <w:b/>
                <w:bCs/>
                <w:sz w:val="40"/>
                <w:szCs w:val="40"/>
              </w:rPr>
            </w:pPr>
            <w:r w:rsidRPr="00D11691">
              <w:rPr>
                <w:rFonts w:ascii="Cambria Math" w:eastAsia="Times New Roman" w:hAnsi="Cambria Math" w:cs="Times New Roman"/>
                <w:b/>
                <w:bCs/>
                <w:color w:val="FF0000"/>
                <w:sz w:val="40"/>
                <w:szCs w:val="40"/>
              </w:rPr>
              <w:t>Стройки, недостроенные и заброшенные строения – не место для детских игр!</w:t>
            </w:r>
          </w:p>
        </w:tc>
      </w:tr>
    </w:tbl>
    <w:p w14:paraId="4F6BE624" w14:textId="45A6B83D" w:rsidR="00B935C8" w:rsidRPr="000A1481" w:rsidRDefault="00B935C8" w:rsidP="000A1481">
      <w:pPr>
        <w:tabs>
          <w:tab w:val="left" w:pos="5952"/>
        </w:tabs>
        <w:ind w:left="284"/>
        <w:jc w:val="center"/>
        <w:rPr>
          <w:rFonts w:ascii="Bahnschrift SemiBold Condensed" w:hAnsi="Bahnschrift SemiBold Condensed"/>
        </w:rPr>
      </w:pPr>
    </w:p>
    <w:sectPr w:rsidR="00B935C8" w:rsidRPr="000A1481" w:rsidSect="000A1481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9A"/>
    <w:rsid w:val="000A1481"/>
    <w:rsid w:val="000C15B9"/>
    <w:rsid w:val="00106F50"/>
    <w:rsid w:val="00226AB8"/>
    <w:rsid w:val="00336FAE"/>
    <w:rsid w:val="00372113"/>
    <w:rsid w:val="0069396E"/>
    <w:rsid w:val="006C0B77"/>
    <w:rsid w:val="008242FF"/>
    <w:rsid w:val="00856CC3"/>
    <w:rsid w:val="00870751"/>
    <w:rsid w:val="0087443D"/>
    <w:rsid w:val="008F6790"/>
    <w:rsid w:val="00922C48"/>
    <w:rsid w:val="00B5519A"/>
    <w:rsid w:val="00B915B7"/>
    <w:rsid w:val="00B935C8"/>
    <w:rsid w:val="00CA1346"/>
    <w:rsid w:val="00D11691"/>
    <w:rsid w:val="00E8585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5D43"/>
  <w15:chartTrackingRefBased/>
  <w15:docId w15:val="{D901E931-31A4-4F9F-BD03-70B07AD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7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79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rtinki.pics/25710-prokuratura-rf-fon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3606-8A3C-4766-B57E-59B3583B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Маркелова Алена Викторовна</cp:lastModifiedBy>
  <cp:revision>18</cp:revision>
  <cp:lastPrinted>2024-06-17T06:04:00Z</cp:lastPrinted>
  <dcterms:created xsi:type="dcterms:W3CDTF">2024-06-02T17:10:00Z</dcterms:created>
  <dcterms:modified xsi:type="dcterms:W3CDTF">2024-06-17T12:11:00Z</dcterms:modified>
</cp:coreProperties>
</file>