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F9" w:rsidRPr="00BB10B0" w:rsidRDefault="00F9103E" w:rsidP="00216BF9">
      <w:pPr>
        <w:pStyle w:val="Default"/>
        <w:ind w:firstLine="540"/>
        <w:jc w:val="both"/>
        <w:rPr>
          <w:sz w:val="28"/>
          <w:szCs w:val="28"/>
        </w:rPr>
      </w:pPr>
      <w:r w:rsidRPr="00BB10B0">
        <w:rPr>
          <w:rFonts w:eastAsia="Times New Roman"/>
          <w:spacing w:val="-3"/>
          <w:sz w:val="28"/>
          <w:szCs w:val="28"/>
          <w:lang w:eastAsia="ru-RU"/>
        </w:rPr>
        <w:t xml:space="preserve">Заключение </w:t>
      </w:r>
      <w:r w:rsidR="006261EA">
        <w:rPr>
          <w:rFonts w:eastAsia="Times New Roman"/>
          <w:spacing w:val="-3"/>
          <w:sz w:val="28"/>
          <w:szCs w:val="28"/>
          <w:lang w:eastAsia="ru-RU"/>
        </w:rPr>
        <w:t xml:space="preserve">Контрольно-счетной палаты </w:t>
      </w:r>
      <w:r w:rsidRPr="00BB10B0">
        <w:rPr>
          <w:rFonts w:eastAsia="Times New Roman"/>
          <w:spacing w:val="-3"/>
          <w:sz w:val="28"/>
          <w:szCs w:val="28"/>
          <w:lang w:eastAsia="ru-RU"/>
        </w:rPr>
        <w:t xml:space="preserve">на </w:t>
      </w:r>
      <w:r w:rsidR="007666E6">
        <w:rPr>
          <w:rFonts w:eastAsia="Times New Roman"/>
          <w:spacing w:val="-3"/>
          <w:sz w:val="28"/>
          <w:szCs w:val="28"/>
          <w:lang w:eastAsia="ru-RU"/>
        </w:rPr>
        <w:t>годовой отчет о</w:t>
      </w:r>
      <w:r w:rsidRPr="00BB10B0">
        <w:rPr>
          <w:rFonts w:eastAsia="Calibri"/>
          <w:bCs/>
          <w:sz w:val="28"/>
          <w:szCs w:val="28"/>
        </w:rPr>
        <w:t xml:space="preserve">б исполнении бюджета </w:t>
      </w:r>
      <w:r w:rsidRPr="00BB10B0">
        <w:rPr>
          <w:rFonts w:eastAsia="Times New Roman"/>
          <w:sz w:val="28"/>
          <w:szCs w:val="28"/>
          <w:lang w:eastAsia="ru-RU"/>
        </w:rPr>
        <w:t>муниципального образования «Приморс</w:t>
      </w:r>
      <w:r w:rsidR="00BC74B6">
        <w:rPr>
          <w:rFonts w:eastAsia="Times New Roman"/>
          <w:sz w:val="28"/>
          <w:szCs w:val="28"/>
          <w:lang w:eastAsia="ru-RU"/>
        </w:rPr>
        <w:t>кий муниципальный район» за 2023</w:t>
      </w:r>
      <w:r w:rsidRPr="00BB10B0">
        <w:rPr>
          <w:rFonts w:eastAsia="Times New Roman"/>
          <w:sz w:val="28"/>
          <w:szCs w:val="28"/>
          <w:lang w:eastAsia="ru-RU"/>
        </w:rPr>
        <w:t xml:space="preserve"> год</w:t>
      </w:r>
      <w:r w:rsidRPr="00BB10B0">
        <w:rPr>
          <w:rFonts w:eastAsia="Times New Roman"/>
          <w:spacing w:val="-3"/>
          <w:sz w:val="28"/>
          <w:szCs w:val="28"/>
          <w:lang w:eastAsia="ru-RU"/>
        </w:rPr>
        <w:t xml:space="preserve"> </w:t>
      </w:r>
      <w:r w:rsidRPr="00BB10B0">
        <w:rPr>
          <w:rFonts w:eastAsia="Times New Roman"/>
          <w:spacing w:val="-1"/>
          <w:sz w:val="28"/>
          <w:szCs w:val="28"/>
          <w:lang w:eastAsia="ru-RU"/>
        </w:rPr>
        <w:t>подготовлено в соответс</w:t>
      </w:r>
      <w:r w:rsidR="00037099" w:rsidRPr="00BB10B0">
        <w:rPr>
          <w:rFonts w:eastAsia="Times New Roman"/>
          <w:spacing w:val="-1"/>
          <w:sz w:val="28"/>
          <w:szCs w:val="28"/>
          <w:lang w:eastAsia="ru-RU"/>
        </w:rPr>
        <w:t>твии с Бюджетным кодексом Российской Федерации</w:t>
      </w:r>
      <w:r w:rsidRPr="00BB10B0">
        <w:rPr>
          <w:rFonts w:eastAsia="Times New Roman"/>
          <w:spacing w:val="-1"/>
          <w:sz w:val="28"/>
          <w:szCs w:val="28"/>
          <w:lang w:eastAsia="ru-RU"/>
        </w:rPr>
        <w:t xml:space="preserve">, </w:t>
      </w:r>
      <w:r w:rsidRPr="00BB10B0">
        <w:rPr>
          <w:rFonts w:eastAsia="Times New Roman"/>
          <w:spacing w:val="-2"/>
          <w:sz w:val="28"/>
          <w:szCs w:val="28"/>
          <w:lang w:eastAsia="ru-RU"/>
        </w:rPr>
        <w:t xml:space="preserve">Положениями «О бюджетном устройстве и бюджетном процессе в муниципальном образовании «Приморский муниципальный район» и о Контрольно-счетной </w:t>
      </w:r>
      <w:r w:rsidRPr="00BB10B0">
        <w:rPr>
          <w:rFonts w:eastAsia="Times New Roman"/>
          <w:sz w:val="28"/>
          <w:szCs w:val="28"/>
          <w:lang w:eastAsia="ru-RU"/>
        </w:rPr>
        <w:t>палате</w:t>
      </w:r>
      <w:r w:rsidR="00D73DFF">
        <w:rPr>
          <w:rFonts w:eastAsia="Times New Roman"/>
          <w:b/>
          <w:spacing w:val="-3"/>
          <w:sz w:val="28"/>
          <w:szCs w:val="28"/>
          <w:lang w:eastAsia="ru-RU"/>
        </w:rPr>
        <w:t>.</w:t>
      </w:r>
    </w:p>
    <w:p w:rsidR="006261EA" w:rsidRDefault="00216BF9" w:rsidP="00216B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0B0">
        <w:rPr>
          <w:rFonts w:ascii="Times New Roman" w:hAnsi="Times New Roman" w:cs="Times New Roman"/>
          <w:sz w:val="28"/>
          <w:szCs w:val="28"/>
        </w:rPr>
        <w:t xml:space="preserve"> Традиционно проверка включала два этапа:</w:t>
      </w:r>
    </w:p>
    <w:p w:rsidR="006261EA" w:rsidRDefault="006261EA" w:rsidP="00216B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67886">
        <w:rPr>
          <w:rFonts w:ascii="Times New Roman" w:hAnsi="Times New Roman" w:cs="Times New Roman"/>
          <w:sz w:val="28"/>
          <w:szCs w:val="28"/>
        </w:rPr>
        <w:t xml:space="preserve"> </w:t>
      </w:r>
      <w:r w:rsidR="00216BF9" w:rsidRPr="00BB10B0"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главных администраторов бюджетных средств и </w:t>
      </w:r>
    </w:p>
    <w:p w:rsidR="006C5FA3" w:rsidRPr="00BB10B0" w:rsidRDefault="006261EA" w:rsidP="00216BF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67886">
        <w:rPr>
          <w:rFonts w:ascii="Times New Roman" w:hAnsi="Times New Roman" w:cs="Times New Roman"/>
          <w:sz w:val="28"/>
          <w:szCs w:val="28"/>
        </w:rPr>
        <w:t xml:space="preserve"> </w:t>
      </w:r>
      <w:r w:rsidR="00216BF9" w:rsidRPr="00BB10B0">
        <w:rPr>
          <w:rFonts w:ascii="Times New Roman" w:hAnsi="Times New Roman" w:cs="Times New Roman"/>
          <w:sz w:val="28"/>
          <w:szCs w:val="28"/>
        </w:rPr>
        <w:t>подготовка заключения на годовой отч</w:t>
      </w:r>
      <w:r w:rsidR="00BC74B6">
        <w:rPr>
          <w:rFonts w:ascii="Times New Roman" w:hAnsi="Times New Roman" w:cs="Times New Roman"/>
          <w:sz w:val="28"/>
          <w:szCs w:val="28"/>
        </w:rPr>
        <w:t>ет об исполнении бюджета за 2023</w:t>
      </w:r>
      <w:r w:rsidR="00216BF9" w:rsidRPr="00BB10B0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C5FA3" w:rsidRPr="00BB10B0" w:rsidRDefault="006C5FA3" w:rsidP="006C5F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0B0">
        <w:rPr>
          <w:rFonts w:ascii="Times New Roman" w:hAnsi="Times New Roman" w:cs="Times New Roman"/>
          <w:sz w:val="28"/>
          <w:szCs w:val="28"/>
        </w:rPr>
        <w:t>Внешняя проверка проведена в отношении девяти главных администраторов бюджетных средств:</w:t>
      </w:r>
    </w:p>
    <w:p w:rsidR="006C5FA3" w:rsidRPr="00BB10B0" w:rsidRDefault="006C5FA3" w:rsidP="006C5FA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0B0">
        <w:rPr>
          <w:rFonts w:ascii="Times New Roman" w:hAnsi="Times New Roman" w:cs="Times New Roman"/>
          <w:sz w:val="28"/>
          <w:szCs w:val="28"/>
        </w:rPr>
        <w:t>- Администрация района;</w:t>
      </w:r>
    </w:p>
    <w:p w:rsidR="00FE4990" w:rsidRDefault="006C5FA3" w:rsidP="006C5FA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Собрание депутатов;</w:t>
      </w:r>
      <w:r w:rsidR="00FE4990" w:rsidRPr="00F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AB8" w:rsidRDefault="00FE4990" w:rsidP="008A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Контрольно-счетная палата</w:t>
      </w:r>
      <w:r w:rsidR="00AF3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B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CDA" w:rsidRDefault="008A2CDA" w:rsidP="008A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по управлению муниципальным имуществом и земельным отношениям</w:t>
      </w:r>
      <w:r w:rsidR="00AF3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B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FA3" w:rsidRPr="00BB10B0" w:rsidRDefault="00AF3AB8" w:rsidP="006C5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6C5FA3" w:rsidRPr="00BB1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инансовое управление;</w:t>
      </w:r>
    </w:p>
    <w:p w:rsidR="006C5FA3" w:rsidRPr="00BB10B0" w:rsidRDefault="00AF3AB8" w:rsidP="006C5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6C5FA3" w:rsidRPr="00BB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экономики и прогнозирования;</w:t>
      </w:r>
    </w:p>
    <w:p w:rsidR="006C5FA3" w:rsidRPr="00BB10B0" w:rsidRDefault="00AF3AB8" w:rsidP="006C5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6C5FA3" w:rsidRPr="00BB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образование;</w:t>
      </w:r>
    </w:p>
    <w:p w:rsidR="006C5FA3" w:rsidRPr="00BB10B0" w:rsidRDefault="006C5FA3" w:rsidP="006C5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3A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культуры;</w:t>
      </w:r>
    </w:p>
    <w:p w:rsidR="006C5FA3" w:rsidRPr="00BB10B0" w:rsidRDefault="00AF3AB8" w:rsidP="006C5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bookmarkStart w:id="0" w:name="_GoBack"/>
      <w:bookmarkEnd w:id="0"/>
      <w:r w:rsidR="006C5FA3" w:rsidRPr="00BB1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по инфраструктурному развитию и муниципальному хозяйству;</w:t>
      </w:r>
    </w:p>
    <w:p w:rsidR="00FE4990" w:rsidRPr="00FE4990" w:rsidRDefault="00FE4990" w:rsidP="00FE4990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администраторами бюджетная отчётность сдана в срок, </w:t>
      </w:r>
    </w:p>
    <w:p w:rsidR="00FE4990" w:rsidRPr="00FE4990" w:rsidRDefault="00FE4990" w:rsidP="00FE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Положением о бюджетном процессе. Бюджетная отчетность соответствует структуре и бюджетной классификации, которые применялись при утверждении решения о местном бюджете.</w:t>
      </w:r>
    </w:p>
    <w:p w:rsidR="00FE4990" w:rsidRPr="00FE4990" w:rsidRDefault="00FE4990" w:rsidP="00FE4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9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бюджетной отчетности главных администраторов бюджетных средств установлены случаи несоблюдения главными администраторами бюджетных средств порядка составления и заполнения форм годовой бюджетной отчетности, определенного Инструкцией № 191н, федеральных стандартов бухгалтерского учета государственных финансов.</w:t>
      </w:r>
    </w:p>
    <w:p w:rsidR="00FE4990" w:rsidRPr="00FE4990" w:rsidRDefault="00FE4990" w:rsidP="00FE4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фактам выявлен</w:t>
      </w:r>
      <w:r w:rsidR="0076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нарушений в адрес пяти главных администраторов бюджетных средств</w:t>
      </w:r>
      <w:r w:rsidRPr="00FE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направлены представления об устранении выявленных нарушений, по </w:t>
      </w:r>
      <w:r w:rsidRPr="00FE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одному </w:t>
      </w:r>
      <w:r w:rsidR="00766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главному администратору бюджетных средств</w:t>
      </w:r>
      <w:r w:rsidRPr="00FE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 протокол об административном правонарушении.   </w:t>
      </w:r>
    </w:p>
    <w:p w:rsidR="00037099" w:rsidRPr="00BB10B0" w:rsidRDefault="008F114B" w:rsidP="00037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BB1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аключение на отчет об исполнении бюджета </w:t>
      </w:r>
      <w:r w:rsidR="00037099" w:rsidRPr="00BB1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Контрольно-счетной палатой подготовлено с учетом данных внешней проверки годовой бюджетной отчетности главных администраторов бюджетных средств,</w:t>
      </w:r>
      <w:r w:rsidR="00037099" w:rsidRPr="00BB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было направлено в Собрание депутатов, Главе </w:t>
      </w:r>
      <w:r w:rsidR="00FE4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муниципального округа</w:t>
      </w:r>
      <w:r w:rsidR="00037099" w:rsidRPr="00BB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законодательством сроки</w:t>
      </w:r>
      <w:r w:rsidR="00037099" w:rsidRPr="00BB10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9103E" w:rsidRPr="00BB10B0" w:rsidRDefault="00F9103E" w:rsidP="00F9103E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Стандартом внешнего финансового контроля </w:t>
      </w:r>
    </w:p>
    <w:p w:rsidR="00F9103E" w:rsidRPr="00BB10B0" w:rsidRDefault="00F9103E" w:rsidP="00F9103E">
      <w:pPr>
        <w:widowControl w:val="0"/>
        <w:shd w:val="clear" w:color="auto" w:fill="FFFFFF"/>
        <w:autoSpaceDE w:val="0"/>
        <w:autoSpaceDN w:val="0"/>
        <w:adjustRightInd w:val="0"/>
        <w:spacing w:after="0" w:line="312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и проведение внешней проверки годового отчета об исполнении местного бюджета» экспертиза проведена по основным тематическим блокам:</w:t>
      </w:r>
    </w:p>
    <w:p w:rsidR="00591D19" w:rsidRPr="00BB10B0" w:rsidRDefault="001B5DBA" w:rsidP="001B5DBA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0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1D19" w:rsidRPr="00BB10B0">
        <w:rPr>
          <w:rFonts w:ascii="Times New Roman" w:eastAsia="Times New Roman" w:hAnsi="Times New Roman" w:cs="Times New Roman"/>
          <w:sz w:val="28"/>
          <w:szCs w:val="28"/>
        </w:rPr>
        <w:t>общие положения (сроки и полнота представления документов, источники информации для Заключения и т.д.);</w:t>
      </w:r>
    </w:p>
    <w:p w:rsidR="00591D19" w:rsidRPr="00BB10B0" w:rsidRDefault="001B5DBA" w:rsidP="001B5DBA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0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1D19" w:rsidRPr="00BB10B0">
        <w:rPr>
          <w:rFonts w:ascii="Times New Roman" w:eastAsia="Times New Roman" w:hAnsi="Times New Roman" w:cs="Times New Roman"/>
          <w:sz w:val="28"/>
          <w:szCs w:val="28"/>
        </w:rPr>
        <w:t>общая характеристика исполнения бюджета;</w:t>
      </w:r>
    </w:p>
    <w:p w:rsidR="00591D19" w:rsidRPr="00BB10B0" w:rsidRDefault="001B5DBA" w:rsidP="001B5DBA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0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1D19" w:rsidRPr="00BB10B0">
        <w:rPr>
          <w:rFonts w:ascii="Times New Roman" w:eastAsia="Times New Roman" w:hAnsi="Times New Roman" w:cs="Times New Roman"/>
          <w:sz w:val="28"/>
          <w:szCs w:val="28"/>
        </w:rPr>
        <w:t>исполнение доходной части бюджета, включая общую оценку доходов, налоговых и неналоговых доходов, безвозмездных поступлений;</w:t>
      </w:r>
    </w:p>
    <w:p w:rsidR="00954973" w:rsidRPr="00BB10B0" w:rsidRDefault="001B5DBA" w:rsidP="001B5DBA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0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1D19" w:rsidRPr="00BB10B0">
        <w:rPr>
          <w:rFonts w:ascii="Times New Roman" w:eastAsia="Times New Roman" w:hAnsi="Times New Roman" w:cs="Times New Roman"/>
          <w:sz w:val="28"/>
          <w:szCs w:val="28"/>
        </w:rPr>
        <w:t xml:space="preserve">исполнение расходной части бюджета, </w:t>
      </w:r>
      <w:r w:rsidR="00954973" w:rsidRPr="00BB10B0">
        <w:rPr>
          <w:rFonts w:ascii="Times New Roman" w:eastAsia="Times New Roman" w:hAnsi="Times New Roman" w:cs="Times New Roman"/>
          <w:sz w:val="28"/>
          <w:szCs w:val="28"/>
        </w:rPr>
        <w:t>в том числе программной части;</w:t>
      </w:r>
    </w:p>
    <w:p w:rsidR="00954973" w:rsidRPr="00BB10B0" w:rsidRDefault="001B5DBA" w:rsidP="001B5DBA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0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54973" w:rsidRPr="00BB10B0">
        <w:rPr>
          <w:rFonts w:ascii="Times New Roman" w:eastAsia="Times New Roman" w:hAnsi="Times New Roman" w:cs="Times New Roman"/>
          <w:sz w:val="28"/>
          <w:szCs w:val="28"/>
        </w:rPr>
        <w:t>исполнение резервного фонда администрации;</w:t>
      </w:r>
    </w:p>
    <w:p w:rsidR="00591D19" w:rsidRPr="00BB10B0" w:rsidRDefault="001B5DBA" w:rsidP="001B5DBA">
      <w:pPr>
        <w:tabs>
          <w:tab w:val="num" w:pos="-234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0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1D19" w:rsidRPr="00BB10B0">
        <w:rPr>
          <w:rFonts w:ascii="Times New Roman" w:eastAsia="Times New Roman" w:hAnsi="Times New Roman" w:cs="Times New Roman"/>
          <w:sz w:val="28"/>
          <w:szCs w:val="28"/>
        </w:rPr>
        <w:t>оценка дефицита (профицита) бюджета и источников финансирования дефицита, включая бюджетные кредиты;</w:t>
      </w:r>
    </w:p>
    <w:p w:rsidR="00591D19" w:rsidRPr="00BB10B0" w:rsidRDefault="001B5DBA" w:rsidP="001B5DBA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0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1D19" w:rsidRPr="00BB10B0">
        <w:rPr>
          <w:rFonts w:ascii="Times New Roman" w:eastAsia="Times New Roman" w:hAnsi="Times New Roman" w:cs="Times New Roman"/>
          <w:sz w:val="28"/>
          <w:szCs w:val="28"/>
        </w:rPr>
        <w:t xml:space="preserve">анализ долговых и гарантийных обязательств; </w:t>
      </w:r>
    </w:p>
    <w:p w:rsidR="00591D19" w:rsidRPr="00BB10B0" w:rsidRDefault="001B5DBA" w:rsidP="001B5DBA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0B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2ABD" w:rsidRPr="00BB10B0">
        <w:rPr>
          <w:rFonts w:ascii="Times New Roman" w:eastAsia="Times New Roman" w:hAnsi="Times New Roman" w:cs="Times New Roman"/>
          <w:sz w:val="28"/>
          <w:szCs w:val="28"/>
        </w:rPr>
        <w:t>выводы и рекомендации.</w:t>
      </w:r>
    </w:p>
    <w:p w:rsidR="008F114B" w:rsidRPr="00BB10B0" w:rsidRDefault="008F114B" w:rsidP="008F114B">
      <w:pPr>
        <w:spacing w:after="0" w:line="276" w:lineRule="auto"/>
        <w:ind w:right="283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10B0">
        <w:rPr>
          <w:rFonts w:ascii="Times New Roman" w:eastAsia="Calibri" w:hAnsi="Times New Roman" w:cs="Times New Roman"/>
          <w:color w:val="000000"/>
          <w:sz w:val="28"/>
          <w:szCs w:val="28"/>
        </w:rPr>
        <w:t>Показатели исполнения бюджета подробно представлены в докладе</w:t>
      </w:r>
      <w:r w:rsidRPr="00FE49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основного докладчика</w:t>
      </w:r>
      <w:r w:rsidRPr="00BB10B0">
        <w:rPr>
          <w:rFonts w:ascii="Times New Roman" w:eastAsia="Calibri" w:hAnsi="Times New Roman" w:cs="Times New Roman"/>
          <w:color w:val="000000"/>
          <w:sz w:val="28"/>
          <w:szCs w:val="28"/>
        </w:rPr>
        <w:t>, поэтому остановлюсь на отдельных моментах, изложенных в представленном заключении:</w:t>
      </w:r>
    </w:p>
    <w:p w:rsidR="00630C25" w:rsidRPr="001C7F83" w:rsidRDefault="004A2B3C" w:rsidP="000A2FB9">
      <w:pPr>
        <w:widowControl w:val="0"/>
        <w:autoSpaceDE w:val="0"/>
        <w:autoSpaceDN w:val="0"/>
        <w:adjustRightInd w:val="0"/>
        <w:ind w:left="1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2D">
        <w:rPr>
          <w:rFonts w:ascii="Times New Roman" w:hAnsi="Times New Roman" w:cs="Times New Roman"/>
          <w:sz w:val="28"/>
          <w:szCs w:val="28"/>
        </w:rPr>
        <w:t xml:space="preserve">- доходы исполнены в сумме </w:t>
      </w:r>
      <w:r w:rsidR="00EC7567" w:rsidRPr="0085032D">
        <w:rPr>
          <w:rFonts w:ascii="Times New Roman" w:hAnsi="Times New Roman" w:cs="Times New Roman"/>
          <w:sz w:val="28"/>
          <w:szCs w:val="28"/>
        </w:rPr>
        <w:t>1</w:t>
      </w:r>
      <w:r w:rsidR="00AF3D7F" w:rsidRPr="0085032D">
        <w:rPr>
          <w:rFonts w:ascii="Times New Roman" w:hAnsi="Times New Roman" w:cs="Times New Roman"/>
          <w:sz w:val="28"/>
          <w:szCs w:val="28"/>
        </w:rPr>
        <w:t>млрд.</w:t>
      </w:r>
      <w:r w:rsidR="0085032D" w:rsidRPr="0085032D">
        <w:rPr>
          <w:rFonts w:ascii="Times New Roman" w:hAnsi="Times New Roman" w:cs="Times New Roman"/>
          <w:sz w:val="28"/>
          <w:szCs w:val="28"/>
        </w:rPr>
        <w:t>838</w:t>
      </w:r>
      <w:r w:rsidR="00AF3D7F" w:rsidRPr="0085032D">
        <w:rPr>
          <w:rFonts w:ascii="Times New Roman" w:hAnsi="Times New Roman" w:cs="Times New Roman"/>
          <w:sz w:val="28"/>
          <w:szCs w:val="28"/>
        </w:rPr>
        <w:t>млн</w:t>
      </w:r>
      <w:r w:rsidR="00EC7567" w:rsidRPr="0085032D">
        <w:rPr>
          <w:rFonts w:ascii="Times New Roman" w:hAnsi="Times New Roman" w:cs="Times New Roman"/>
          <w:sz w:val="28"/>
          <w:szCs w:val="28"/>
        </w:rPr>
        <w:t>. рублей (</w:t>
      </w:r>
      <w:r w:rsidR="0085032D">
        <w:rPr>
          <w:rFonts w:ascii="Times New Roman" w:hAnsi="Times New Roman" w:cs="Times New Roman"/>
          <w:sz w:val="28"/>
          <w:szCs w:val="28"/>
        </w:rPr>
        <w:t>89,6</w:t>
      </w:r>
      <w:r w:rsidRPr="0085032D">
        <w:rPr>
          <w:rFonts w:ascii="Times New Roman" w:hAnsi="Times New Roman" w:cs="Times New Roman"/>
          <w:sz w:val="28"/>
          <w:szCs w:val="28"/>
        </w:rPr>
        <w:t xml:space="preserve">% </w:t>
      </w:r>
      <w:r w:rsidR="006D55AD" w:rsidRPr="0085032D">
        <w:rPr>
          <w:rFonts w:ascii="Times New Roman" w:hAnsi="Times New Roman" w:cs="Times New Roman"/>
          <w:sz w:val="28"/>
          <w:szCs w:val="28"/>
        </w:rPr>
        <w:t>к уточненному плану</w:t>
      </w:r>
      <w:r w:rsidR="0063089A" w:rsidRPr="0085032D">
        <w:rPr>
          <w:rFonts w:ascii="Times New Roman" w:hAnsi="Times New Roman" w:cs="Times New Roman"/>
          <w:sz w:val="28"/>
          <w:szCs w:val="28"/>
        </w:rPr>
        <w:t>).</w:t>
      </w:r>
      <w:r w:rsidR="0044386F" w:rsidRPr="00850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86F" w:rsidRPr="008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зачисленных доходов превалируют безвозмездные поступления, их доля составляет </w:t>
      </w:r>
      <w:r w:rsidR="001C7F8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44386F" w:rsidRPr="0085032D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налого</w:t>
      </w:r>
      <w:r w:rsidR="001C7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и неналоговые доходы -  27</w:t>
      </w:r>
      <w:r w:rsidR="0044386F" w:rsidRPr="0085032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0A2FB9" w:rsidRPr="0085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году, как и в прошлом, наибольший </w:t>
      </w:r>
      <w:r w:rsidR="000A2FB9" w:rsidRPr="001C7F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в безвозмездных поступлениях занимают субсид</w:t>
      </w:r>
      <w:r w:rsidR="00A76CAB" w:rsidRPr="001C7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доля которых составляет 48,6% и субвенции – 48,2</w:t>
      </w:r>
      <w:r w:rsidR="000A2FB9" w:rsidRPr="001C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630C25" w:rsidRPr="001C7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налоговых/неналоговых доходах районного бюджета занимают доходы, админис</w:t>
      </w:r>
      <w:r w:rsidR="001C7F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трируемые ФНС России (85</w:t>
      </w:r>
      <w:r w:rsidR="00630C25" w:rsidRPr="001C7F83"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объема), поступление доходов от которых обеспечено в основном налогом на доходы физических лиц</w:t>
      </w:r>
      <w:r w:rsidR="001C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(79%)</w:t>
      </w:r>
      <w:r w:rsidR="00630C25" w:rsidRPr="001C7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86F" w:rsidRPr="00316D97" w:rsidRDefault="004A2B3C" w:rsidP="0044386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16D97">
        <w:rPr>
          <w:rFonts w:ascii="Times New Roman" w:hAnsi="Times New Roman" w:cs="Times New Roman"/>
          <w:sz w:val="28"/>
          <w:szCs w:val="28"/>
        </w:rPr>
        <w:t>- расх</w:t>
      </w:r>
      <w:r w:rsidR="006D55AD" w:rsidRPr="00316D97">
        <w:rPr>
          <w:rFonts w:ascii="Times New Roman" w:hAnsi="Times New Roman" w:cs="Times New Roman"/>
          <w:sz w:val="28"/>
          <w:szCs w:val="28"/>
        </w:rPr>
        <w:t>оды исполнены в сумме 1</w:t>
      </w:r>
      <w:r w:rsidR="00AF3D7F" w:rsidRPr="00316D97">
        <w:rPr>
          <w:rFonts w:ascii="Times New Roman" w:hAnsi="Times New Roman" w:cs="Times New Roman"/>
          <w:sz w:val="28"/>
          <w:szCs w:val="28"/>
        </w:rPr>
        <w:t>млрд.</w:t>
      </w:r>
      <w:r w:rsidR="00316D97" w:rsidRPr="00316D97">
        <w:rPr>
          <w:rFonts w:ascii="Times New Roman" w:hAnsi="Times New Roman" w:cs="Times New Roman"/>
          <w:sz w:val="28"/>
          <w:szCs w:val="28"/>
        </w:rPr>
        <w:t>848</w:t>
      </w:r>
      <w:r w:rsidR="00AF3D7F" w:rsidRPr="00316D97">
        <w:rPr>
          <w:rFonts w:ascii="Times New Roman" w:hAnsi="Times New Roman" w:cs="Times New Roman"/>
          <w:sz w:val="28"/>
          <w:szCs w:val="28"/>
        </w:rPr>
        <w:t>млн</w:t>
      </w:r>
      <w:r w:rsidR="00316D97" w:rsidRPr="00316D97">
        <w:rPr>
          <w:rFonts w:ascii="Times New Roman" w:hAnsi="Times New Roman" w:cs="Times New Roman"/>
          <w:sz w:val="28"/>
          <w:szCs w:val="28"/>
        </w:rPr>
        <w:t>. рублей (88,1</w:t>
      </w:r>
      <w:r w:rsidRPr="00316D97">
        <w:rPr>
          <w:rFonts w:ascii="Times New Roman" w:hAnsi="Times New Roman" w:cs="Times New Roman"/>
          <w:sz w:val="28"/>
          <w:szCs w:val="28"/>
        </w:rPr>
        <w:t xml:space="preserve">% </w:t>
      </w:r>
      <w:r w:rsidR="006D55AD" w:rsidRPr="00316D97">
        <w:rPr>
          <w:rFonts w:ascii="Times New Roman" w:hAnsi="Times New Roman" w:cs="Times New Roman"/>
          <w:sz w:val="28"/>
          <w:szCs w:val="28"/>
        </w:rPr>
        <w:t>к уточненному плану</w:t>
      </w:r>
      <w:r w:rsidRPr="00316D97">
        <w:rPr>
          <w:rFonts w:ascii="Times New Roman" w:hAnsi="Times New Roman" w:cs="Times New Roman"/>
          <w:sz w:val="28"/>
          <w:szCs w:val="28"/>
        </w:rPr>
        <w:t>);</w:t>
      </w:r>
      <w:r w:rsidR="0044386F" w:rsidRPr="00316D9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Расходы районного бюджета характеризуются</w:t>
      </w:r>
      <w:r w:rsidR="0044386F" w:rsidRPr="00316D9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44386F" w:rsidRPr="00316D9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социальной направленностью – наибольший удельный вес в общей сумме </w:t>
      </w:r>
      <w:r w:rsidR="00316D9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расходов, или 73</w:t>
      </w:r>
      <w:r w:rsidR="0044386F" w:rsidRPr="00316D9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%, приходится на социально-культурную сферу (образование, культуру, реализацию социальной и молодежной политики, развитие физкультуры и спорта). Расходы отчетного периода на финансирование социального блока составили 1</w:t>
      </w:r>
      <w:r w:rsidR="00AF3D7F" w:rsidRPr="00316D9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млрд.</w:t>
      </w:r>
      <w:r w:rsidR="00316D9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 341</w:t>
      </w:r>
      <w:r w:rsidR="00AF3D7F" w:rsidRPr="00316D9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млн.</w:t>
      </w:r>
      <w:r w:rsidR="0044386F" w:rsidRPr="00316D9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рублей.</w:t>
      </w:r>
    </w:p>
    <w:p w:rsidR="00850C00" w:rsidRPr="00AE57C8" w:rsidRDefault="00850C00" w:rsidP="00850C00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 района имеет программную направленность, в течение года реализовывалось 13 муниципальных программ. </w:t>
      </w:r>
    </w:p>
    <w:p w:rsidR="00AE57C8" w:rsidRPr="00AE57C8" w:rsidRDefault="00AE57C8" w:rsidP="00AE5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программных расходов составило 1млрд.821 </w:t>
      </w:r>
      <w:proofErr w:type="spellStart"/>
      <w:r w:rsidRPr="00AE57C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Pr="00AE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</w:t>
      </w:r>
    </w:p>
    <w:p w:rsidR="00850C00" w:rsidRPr="00AE57C8" w:rsidRDefault="00AE57C8" w:rsidP="00850C00">
      <w:pPr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C8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 w:rsidR="00850C00" w:rsidRPr="00AE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всех профинансированных расходов. </w:t>
      </w:r>
    </w:p>
    <w:p w:rsidR="00850C00" w:rsidRDefault="00A307BB" w:rsidP="00850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прошлом году о</w:t>
      </w:r>
      <w:r w:rsidR="00850C00" w:rsidRPr="00AE5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диннадцать муниципальных программ признаны высокоэффективными, две программы оценены как нормально эффекти</w:t>
      </w:r>
      <w:r w:rsidR="0063089A" w:rsidRPr="00AE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вные. </w:t>
      </w:r>
    </w:p>
    <w:p w:rsidR="006873BE" w:rsidRPr="001966A7" w:rsidRDefault="006873BE" w:rsidP="00850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873BE" w:rsidRDefault="006873BE" w:rsidP="006873BE">
      <w:pPr>
        <w:spacing w:after="0" w:line="240" w:lineRule="auto"/>
        <w:ind w:firstLine="567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6873BE">
        <w:rPr>
          <w:rFonts w:ascii="Times New Roman" w:hAnsi="Times New Roman"/>
          <w:noProof/>
          <w:spacing w:val="-4"/>
          <w:sz w:val="28"/>
          <w:szCs w:val="28"/>
        </w:rPr>
        <w:t>Ключевым приоритетом развития территорий Приморского муниципального района остается реализация национальных проектов и программ комплексного развития сельских территорий, направленных на повышение качества жизни населения.</w:t>
      </w:r>
      <w:r w:rsidR="003930E5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6873BE">
        <w:rPr>
          <w:rFonts w:ascii="Times New Roman" w:hAnsi="Times New Roman"/>
          <w:noProof/>
          <w:spacing w:val="-4"/>
          <w:sz w:val="28"/>
          <w:szCs w:val="28"/>
        </w:rPr>
        <w:t xml:space="preserve"> В 2023 году на территории </w:t>
      </w:r>
      <w:r>
        <w:rPr>
          <w:rFonts w:ascii="Times New Roman" w:hAnsi="Times New Roman"/>
          <w:noProof/>
          <w:spacing w:val="-4"/>
          <w:sz w:val="28"/>
          <w:szCs w:val="28"/>
        </w:rPr>
        <w:t xml:space="preserve"> Приморского района </w:t>
      </w:r>
      <w:r w:rsidRPr="006873BE">
        <w:rPr>
          <w:rFonts w:ascii="Times New Roman" w:hAnsi="Times New Roman"/>
          <w:noProof/>
          <w:spacing w:val="-4"/>
          <w:sz w:val="28"/>
          <w:szCs w:val="28"/>
        </w:rPr>
        <w:t>реализовывались 5 национальных проектов с бюджетным финансированием</w:t>
      </w:r>
      <w:r>
        <w:rPr>
          <w:rFonts w:ascii="Times New Roman" w:hAnsi="Times New Roman"/>
          <w:noProof/>
          <w:spacing w:val="-4"/>
          <w:sz w:val="28"/>
          <w:szCs w:val="28"/>
        </w:rPr>
        <w:t xml:space="preserve"> 68,4 млн.рублей</w:t>
      </w:r>
      <w:r w:rsidRPr="006873BE">
        <w:rPr>
          <w:rFonts w:ascii="Times New Roman" w:hAnsi="Times New Roman"/>
          <w:noProof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noProof/>
          <w:spacing w:val="-4"/>
          <w:sz w:val="28"/>
          <w:szCs w:val="28"/>
        </w:rPr>
        <w:t>Кассовое исполнение составило 45,9 млн.рублей или 67%.</w:t>
      </w:r>
      <w:r w:rsidR="003930E5">
        <w:rPr>
          <w:rFonts w:ascii="Times New Roman" w:hAnsi="Times New Roman"/>
          <w:noProof/>
          <w:spacing w:val="-4"/>
          <w:sz w:val="28"/>
          <w:szCs w:val="28"/>
        </w:rPr>
        <w:t xml:space="preserve"> (не исполнены плановые назначения по НП «Жилье и городская среда» план 56,5 млн.руб., исполнение 34,1 млн.рублей)</w:t>
      </w:r>
      <w:r w:rsidR="00D73DFF">
        <w:rPr>
          <w:rFonts w:ascii="Times New Roman" w:hAnsi="Times New Roman"/>
          <w:noProof/>
          <w:spacing w:val="-4"/>
          <w:sz w:val="28"/>
          <w:szCs w:val="28"/>
        </w:rPr>
        <w:t>.</w:t>
      </w:r>
    </w:p>
    <w:p w:rsidR="006873BE" w:rsidRPr="00D73DFF" w:rsidRDefault="00CB0985" w:rsidP="006873B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pacing w:val="-4"/>
          <w:sz w:val="28"/>
          <w:szCs w:val="28"/>
        </w:rPr>
      </w:pPr>
      <w:r w:rsidRPr="00D73DFF">
        <w:rPr>
          <w:rFonts w:ascii="Times New Roman" w:eastAsiaTheme="minorEastAsia" w:hAnsi="Times New Roman" w:cs="Times New Roman"/>
          <w:sz w:val="28"/>
          <w:szCs w:val="28"/>
        </w:rPr>
        <w:t>Инвестиционные бюджетные расходы и расходы на капитальные ремонты в 2023 году составили порядка 200 млн. рублей</w:t>
      </w:r>
      <w:r w:rsidR="00D73DF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873BE" w:rsidRDefault="006873BE" w:rsidP="006873B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0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Расходы на осуществление дорожной деятельности составили </w:t>
      </w:r>
      <w:r w:rsidRPr="008820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>75,2 млн. рублей и исполнены на 96,8% к плановым назначениям.</w:t>
      </w:r>
      <w:r w:rsidRPr="008820B2">
        <w:rPr>
          <w:rFonts w:ascii="Times New Roman" w:eastAsia="Times New Roman" w:hAnsi="Times New Roman" w:cs="Times New Roman"/>
          <w:sz w:val="28"/>
          <w:szCs w:val="28"/>
        </w:rPr>
        <w:t xml:space="preserve"> В рамках дорожного фонда средства направлены на содержание, ремонт и реконструкцию автодорог общего пользования, а также обустройство ледовых переправ в зимний период.</w:t>
      </w:r>
    </w:p>
    <w:p w:rsidR="006873BE" w:rsidRPr="008820B2" w:rsidRDefault="006873BE" w:rsidP="006873B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публичных нормативных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осуществлено </w:t>
      </w:r>
      <w:r w:rsidRPr="0068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7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млн.рублей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73BE" w:rsidRDefault="006873BE" w:rsidP="006873BE">
      <w:pPr>
        <w:spacing w:after="200" w:line="276" w:lineRule="auto"/>
        <w:ind w:right="283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7C8">
        <w:rPr>
          <w:rFonts w:ascii="Times New Roman" w:eastAsia="Calibri" w:hAnsi="Times New Roman" w:cs="Times New Roman"/>
          <w:color w:val="000000"/>
          <w:sz w:val="28"/>
          <w:szCs w:val="28"/>
        </w:rPr>
        <w:t>Фактов осуществления расходов, не предусмотренных бюджетом или с превышением бюджетных ассигнований, проведенной проверкой не установлено.</w:t>
      </w:r>
    </w:p>
    <w:p w:rsidR="006873BE" w:rsidRDefault="006873BE" w:rsidP="006873BE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Статьей 14 </w:t>
      </w:r>
      <w:r w:rsidRPr="008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бюджете утвержден объем резервного фонда Администрации в размере 10,5 млн. рублей. Расходование средств осуществлено в объеме 7,7 </w:t>
      </w:r>
      <w:proofErr w:type="spellStart"/>
      <w:r w:rsidRPr="00882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Pr="0088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0985" w:rsidRPr="00CB0985" w:rsidRDefault="006873BE" w:rsidP="00CB0985">
      <w:pPr>
        <w:widowControl w:val="0"/>
        <w:suppressAutoHyphens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B0985">
        <w:rPr>
          <w:rFonts w:ascii="Times New Roman" w:hAnsi="Times New Roman" w:cs="Times New Roman"/>
          <w:sz w:val="28"/>
          <w:szCs w:val="28"/>
        </w:rPr>
        <w:t xml:space="preserve">  </w:t>
      </w:r>
      <w:r w:rsidR="00850C00" w:rsidRPr="00CB0985">
        <w:rPr>
          <w:rFonts w:ascii="Times New Roman" w:hAnsi="Times New Roman" w:cs="Times New Roman"/>
          <w:sz w:val="28"/>
          <w:szCs w:val="28"/>
        </w:rPr>
        <w:t xml:space="preserve">Бюджет исполнен с </w:t>
      </w:r>
      <w:r w:rsidR="0027192C" w:rsidRPr="00CB0985">
        <w:rPr>
          <w:rFonts w:ascii="Times New Roman" w:hAnsi="Times New Roman" w:cs="Times New Roman"/>
          <w:sz w:val="28"/>
          <w:szCs w:val="28"/>
        </w:rPr>
        <w:t>де</w:t>
      </w:r>
      <w:r w:rsidR="00854610" w:rsidRPr="00CB0985">
        <w:rPr>
          <w:rFonts w:ascii="Times New Roman" w:hAnsi="Times New Roman" w:cs="Times New Roman"/>
          <w:sz w:val="28"/>
          <w:szCs w:val="28"/>
        </w:rPr>
        <w:t>фицит</w:t>
      </w:r>
      <w:r w:rsidR="00850C00" w:rsidRPr="00CB0985">
        <w:rPr>
          <w:rFonts w:ascii="Times New Roman" w:hAnsi="Times New Roman" w:cs="Times New Roman"/>
          <w:sz w:val="28"/>
          <w:szCs w:val="28"/>
        </w:rPr>
        <w:t xml:space="preserve">ом в размере </w:t>
      </w:r>
      <w:r w:rsidR="0027192C" w:rsidRPr="00CB0985">
        <w:rPr>
          <w:rFonts w:ascii="Times New Roman" w:hAnsi="Times New Roman" w:cs="Times New Roman"/>
          <w:bCs/>
          <w:sz w:val="28"/>
          <w:szCs w:val="28"/>
        </w:rPr>
        <w:t>9,9</w:t>
      </w:r>
      <w:r w:rsidR="00AF3D7F" w:rsidRPr="00CB0985">
        <w:rPr>
          <w:rFonts w:ascii="Times New Roman" w:hAnsi="Times New Roman" w:cs="Times New Roman"/>
          <w:bCs/>
          <w:sz w:val="28"/>
          <w:szCs w:val="28"/>
        </w:rPr>
        <w:t>млн.</w:t>
      </w:r>
      <w:r w:rsidR="004A2B3C" w:rsidRPr="00CB0985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CB0985" w:rsidRPr="00CB09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Значения дефицита не превышают предельные значения, определенные нормами пункта 3 статьи 92.1 БК РФ. Показатели источников финансирования дефицита </w:t>
      </w:r>
      <w:proofErr w:type="spellStart"/>
      <w:r w:rsidR="00CB0985" w:rsidRPr="00CB0985">
        <w:rPr>
          <w:rFonts w:ascii="Times New Roman" w:eastAsia="Arial" w:hAnsi="Times New Roman" w:cs="Times New Roman"/>
          <w:sz w:val="28"/>
          <w:szCs w:val="28"/>
          <w:lang w:eastAsia="ru-RU"/>
        </w:rPr>
        <w:t>взаимосогласованы</w:t>
      </w:r>
      <w:proofErr w:type="spellEnd"/>
      <w:r w:rsidR="00CB0985" w:rsidRPr="00CB098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 показателями по доходам и расходам бюджета, данными программы заимствования.</w:t>
      </w:r>
    </w:p>
    <w:p w:rsidR="0027192C" w:rsidRPr="0027192C" w:rsidRDefault="006873BE" w:rsidP="006873BE">
      <w:pPr>
        <w:tabs>
          <w:tab w:val="left" w:pos="709"/>
          <w:tab w:val="left" w:pos="851"/>
          <w:tab w:val="left" w:pos="2835"/>
          <w:tab w:val="left" w:pos="4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850C00" w:rsidRPr="0027192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</w:t>
      </w:r>
      <w:r w:rsidR="0027192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иципальный долг на 1 января 2024 года сложился в объеме </w:t>
      </w:r>
      <w:r w:rsidR="0027192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>25</w:t>
      </w:r>
      <w:r w:rsidR="00AF3D7F" w:rsidRPr="0027192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млн.</w:t>
      </w:r>
      <w:r w:rsidR="00850C00" w:rsidRPr="0027192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рублей.</w:t>
      </w:r>
      <w:r w:rsidR="00A34C5C" w:rsidRPr="002719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обслуживание муниципального долга направлено </w:t>
      </w:r>
      <w:r w:rsidR="00A34C5C" w:rsidRPr="002719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192C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D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D7F" w:rsidRPr="0027192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D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D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рублей.</w:t>
      </w:r>
      <w:r w:rsidR="006A279D" w:rsidRPr="002719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27192C" w:rsidRPr="0027192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сложившийся объем муниципальных заимствований на 01.01.2024 года не превышает показатель, утвержденный решением о бюджете.  Ограничения, установленные статьей 106 БК РФ, соблюдены.</w:t>
      </w:r>
    </w:p>
    <w:p w:rsidR="00151FA7" w:rsidRDefault="0027192C" w:rsidP="00567886">
      <w:pPr>
        <w:widowControl w:val="0"/>
        <w:tabs>
          <w:tab w:val="left" w:pos="0"/>
        </w:tabs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2719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Бюджетные кредиты из районного бюджета в течение год</w:t>
      </w:r>
      <w:r w:rsidR="008F114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 предоставлены в сумме 767 тыс.</w:t>
      </w:r>
      <w:r w:rsidR="00D73DF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рублей и</w:t>
      </w:r>
      <w:r w:rsidRPr="002719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возвращены в том же объеме.</w:t>
      </w:r>
      <w:r w:rsidRPr="002719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A34C5C" w:rsidRPr="00271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униципальные гарантии в течение отчетного периода</w:t>
      </w:r>
      <w:r w:rsidR="00A34C5C" w:rsidRPr="002719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не</w:t>
      </w:r>
      <w:r w:rsidR="00A34C5C" w:rsidRPr="002719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предоставлялись.</w:t>
      </w:r>
    </w:p>
    <w:p w:rsidR="00F46E9B" w:rsidRPr="002D540F" w:rsidRDefault="00A34C5C" w:rsidP="004A2B3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540F">
        <w:rPr>
          <w:sz w:val="28"/>
          <w:szCs w:val="28"/>
        </w:rPr>
        <w:t>По результатам экспертно-аналитической экспертизы</w:t>
      </w:r>
      <w:r w:rsidR="00F46E9B" w:rsidRPr="002D540F">
        <w:rPr>
          <w:sz w:val="28"/>
          <w:szCs w:val="28"/>
        </w:rPr>
        <w:t>:</w:t>
      </w:r>
    </w:p>
    <w:p w:rsidR="0044386F" w:rsidRPr="00D73DFF" w:rsidRDefault="00F46E9B" w:rsidP="004A2B3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DFF">
        <w:rPr>
          <w:sz w:val="28"/>
          <w:szCs w:val="28"/>
        </w:rPr>
        <w:t>1)</w:t>
      </w:r>
      <w:r w:rsidR="00A34C5C" w:rsidRPr="00D73DFF">
        <w:rPr>
          <w:sz w:val="28"/>
          <w:szCs w:val="28"/>
        </w:rPr>
        <w:t xml:space="preserve"> сделан вывод:</w:t>
      </w:r>
    </w:p>
    <w:p w:rsidR="00CB0985" w:rsidRPr="00CB0985" w:rsidRDefault="00CB0985" w:rsidP="00CB0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бюджетной</w:t>
      </w: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главных администраторов бюджетных средств установлены случаи несоблюдения главными администраторами бюджетных средств порядка составления и заполнения форм годовой бюджетной отчетности, определенного Инструкцией № 191н, федеральных стандартов бухгалтерского учета государственных финансов.</w:t>
      </w:r>
    </w:p>
    <w:p w:rsidR="00CB0985" w:rsidRPr="00CB0985" w:rsidRDefault="00CB0985" w:rsidP="00CB0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бюджетная отчетность об исполнении бюджета сформирована Финансовым управлением на основании показателей форм годовой бюджетной отчетности главных администраторов бюджетных средств, обобщенных путем суммирования одноименных показателей по соответствующим строкам и графам.</w:t>
      </w:r>
    </w:p>
    <w:p w:rsidR="00FB1EBF" w:rsidRDefault="00CB0985" w:rsidP="00FB1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соотношения между показателями форм бюджетной отчетности, установленные Инструкцией № 191н, соблюдены.</w:t>
      </w:r>
      <w:r w:rsidR="00FB1EBF" w:rsidRPr="00FB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EBF" w:rsidRPr="00CB0985" w:rsidRDefault="00FB1EBF" w:rsidP="00FB1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принятия обязательств по видам расходов с превышением лимитов бюджетных обязательств проверкой не установлено.</w:t>
      </w:r>
    </w:p>
    <w:p w:rsidR="00CB0985" w:rsidRPr="00CB0985" w:rsidRDefault="00CB0985" w:rsidP="00CB0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об исполнении бюджета за 2023 год, представленный администрацией в форме проекта решения об исполнении бюджета, соответствует требованиям БК РФ, Устава, Положения о бюджетном процессе, отражает достоверную информацию. </w:t>
      </w:r>
    </w:p>
    <w:p w:rsidR="00CB0985" w:rsidRPr="00CB0985" w:rsidRDefault="00CB0985" w:rsidP="00CB0985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Фактическое исполнение районного бюджета за 2023 год составило</w:t>
      </w:r>
    </w:p>
    <w:p w:rsidR="00CB0985" w:rsidRPr="00CB0985" w:rsidRDefault="00CB0985" w:rsidP="00CB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8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FB1EBF">
        <w:rPr>
          <w:rFonts w:ascii="Times New Roman" w:eastAsia="Calibri" w:hAnsi="Times New Roman" w:cs="Times New Roman"/>
          <w:color w:val="000000"/>
          <w:sz w:val="28"/>
          <w:szCs w:val="28"/>
        </w:rPr>
        <w:t>млрд.838млн.</w:t>
      </w: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или 89,6% от плановых назначений, по расходам в сумме </w:t>
      </w:r>
      <w:r w:rsidRPr="00CB098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FB1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млрд.848 </w:t>
      </w:r>
      <w:proofErr w:type="spellStart"/>
      <w:r w:rsidR="00FB1EBF">
        <w:rPr>
          <w:rFonts w:ascii="Times New Roman" w:eastAsia="Calibri" w:hAnsi="Times New Roman" w:cs="Times New Roman"/>
          <w:color w:val="000000"/>
          <w:sz w:val="28"/>
          <w:szCs w:val="28"/>
        </w:rPr>
        <w:t>млн.</w:t>
      </w: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88,1% от плановых ассигнований. Бюджет исполнен с дефицитом в размере </w:t>
      </w:r>
      <w:r w:rsidRPr="00CB0985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FB1E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млн.861тыс.</w:t>
      </w: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B0985" w:rsidRPr="00CB0985" w:rsidRDefault="00CB0985" w:rsidP="008F1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долг на 1 января 2024 года сложился в </w:t>
      </w:r>
      <w:r w:rsidR="00FB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25 </w:t>
      </w:r>
      <w:proofErr w:type="spellStart"/>
      <w:r w:rsidR="00FB1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985" w:rsidRPr="00CB0985" w:rsidRDefault="00CB0985" w:rsidP="00CB0985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установленные бюджетным законодательством, по</w:t>
      </w:r>
    </w:p>
    <w:p w:rsidR="00CB0985" w:rsidRPr="00CB0985" w:rsidRDefault="00CB0985" w:rsidP="00CB0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исполнения районного бюджета соблюдены.</w:t>
      </w:r>
    </w:p>
    <w:p w:rsidR="00CB0985" w:rsidRPr="00D73DFF" w:rsidRDefault="00567886" w:rsidP="00CB0985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3DFF">
        <w:rPr>
          <w:rFonts w:ascii="Times New Roman" w:eastAsia="Times New Roman" w:hAnsi="Times New Roman" w:cs="Times New Roman"/>
          <w:sz w:val="27"/>
          <w:szCs w:val="27"/>
          <w:lang w:eastAsia="ru-RU"/>
        </w:rPr>
        <w:t>2)</w:t>
      </w:r>
      <w:r w:rsidR="00D73D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5690" w:rsidRPr="00D73DFF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Даны п</w:t>
      </w:r>
      <w:r w:rsidR="00CB0985" w:rsidRPr="00D73DF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редложения:</w:t>
      </w:r>
    </w:p>
    <w:p w:rsidR="00CB0985" w:rsidRPr="00D73DFF" w:rsidRDefault="00CB0985" w:rsidP="00CB0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управлению, как органу, уполномоченному на формирование годовой бюджетной отчетности об</w:t>
      </w:r>
      <w:r w:rsidR="00FB1EBF" w:rsidRPr="00D7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местного бюджета и </w:t>
      </w:r>
      <w:r w:rsidRPr="00D73D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администраторам бюджетных средств:</w:t>
      </w:r>
    </w:p>
    <w:p w:rsidR="00CB0985" w:rsidRPr="00CB0985" w:rsidRDefault="00CB0985" w:rsidP="00CB0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провести детальный анализ замечаний и нарушений по вопросам бюджетного учета и отчетности, выявленных при проведении внешней проверки годовой бюджетной отчетности главных администраторов бюджетных средств за 2023 год;</w:t>
      </w:r>
    </w:p>
    <w:p w:rsidR="00CB0985" w:rsidRPr="00CB0985" w:rsidRDefault="00CB0985" w:rsidP="00CB0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принять меры по устранению выявленных нарушений и недостатков, осуществлять бюджетный учет, составление и представление бюджетной отчетности в соответствии с требованиями БК РФ, Инструкции № 191н и федеральных стандартов бухгалтерского учета государственных финансов.</w:t>
      </w:r>
    </w:p>
    <w:p w:rsidR="00CB0985" w:rsidRPr="00CB0985" w:rsidRDefault="00CB0985" w:rsidP="00CB0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-для повышения эффективности работы необходимо принять меры по организации и осуществлению внутреннего финансового аудита, установленного положениями статьи 160.2-1 Бюджетного кодекса, на более качественном уровне. </w:t>
      </w:r>
    </w:p>
    <w:p w:rsidR="00D94A9A" w:rsidRPr="00BB10B0" w:rsidRDefault="00D94A9A" w:rsidP="00A34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4A9A" w:rsidRPr="00BB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01FF"/>
    <w:multiLevelType w:val="hybridMultilevel"/>
    <w:tmpl w:val="29A4B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C032F7"/>
    <w:multiLevelType w:val="multilevel"/>
    <w:tmpl w:val="C2EE9C42"/>
    <w:lvl w:ilvl="0">
      <w:start w:val="1"/>
      <w:numFmt w:val="decimal"/>
      <w:pStyle w:val="1"/>
      <w:suff w:val="space"/>
      <w:lvlText w:val="%1."/>
      <w:lvlJc w:val="left"/>
      <w:pPr>
        <w:ind w:left="1709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1F"/>
    <w:rsid w:val="00037099"/>
    <w:rsid w:val="000A2FB9"/>
    <w:rsid w:val="00151FA7"/>
    <w:rsid w:val="001966A7"/>
    <w:rsid w:val="001A1B84"/>
    <w:rsid w:val="001B5DBA"/>
    <w:rsid w:val="001C7F83"/>
    <w:rsid w:val="00216BF9"/>
    <w:rsid w:val="00241A07"/>
    <w:rsid w:val="0027192C"/>
    <w:rsid w:val="002D540F"/>
    <w:rsid w:val="00316D97"/>
    <w:rsid w:val="0038598F"/>
    <w:rsid w:val="003930E5"/>
    <w:rsid w:val="004010CA"/>
    <w:rsid w:val="0043715E"/>
    <w:rsid w:val="0044386F"/>
    <w:rsid w:val="004A2B3C"/>
    <w:rsid w:val="004A52D3"/>
    <w:rsid w:val="00567886"/>
    <w:rsid w:val="00591D19"/>
    <w:rsid w:val="005A199D"/>
    <w:rsid w:val="006261EA"/>
    <w:rsid w:val="0063089A"/>
    <w:rsid w:val="00630C25"/>
    <w:rsid w:val="006873BE"/>
    <w:rsid w:val="006A279D"/>
    <w:rsid w:val="006C5FA3"/>
    <w:rsid w:val="006D55AD"/>
    <w:rsid w:val="00732ABD"/>
    <w:rsid w:val="007666E6"/>
    <w:rsid w:val="00767798"/>
    <w:rsid w:val="0077339D"/>
    <w:rsid w:val="0085032D"/>
    <w:rsid w:val="00850C00"/>
    <w:rsid w:val="00854610"/>
    <w:rsid w:val="008820B2"/>
    <w:rsid w:val="008A2CDA"/>
    <w:rsid w:val="008D5B87"/>
    <w:rsid w:val="008F114B"/>
    <w:rsid w:val="00954973"/>
    <w:rsid w:val="00962C1D"/>
    <w:rsid w:val="009B2B35"/>
    <w:rsid w:val="00A307BB"/>
    <w:rsid w:val="00A34C5C"/>
    <w:rsid w:val="00A76CAB"/>
    <w:rsid w:val="00AE57C8"/>
    <w:rsid w:val="00AF3AB8"/>
    <w:rsid w:val="00AF3D7F"/>
    <w:rsid w:val="00B326DD"/>
    <w:rsid w:val="00B42550"/>
    <w:rsid w:val="00BB10B0"/>
    <w:rsid w:val="00BC74B6"/>
    <w:rsid w:val="00C46B8B"/>
    <w:rsid w:val="00C90881"/>
    <w:rsid w:val="00C92181"/>
    <w:rsid w:val="00CB0985"/>
    <w:rsid w:val="00CB3EE7"/>
    <w:rsid w:val="00CE5690"/>
    <w:rsid w:val="00D04E89"/>
    <w:rsid w:val="00D7031F"/>
    <w:rsid w:val="00D73DFF"/>
    <w:rsid w:val="00D94A9A"/>
    <w:rsid w:val="00DA7F89"/>
    <w:rsid w:val="00DF4349"/>
    <w:rsid w:val="00E16FC5"/>
    <w:rsid w:val="00EC7567"/>
    <w:rsid w:val="00F46E9B"/>
    <w:rsid w:val="00F5468B"/>
    <w:rsid w:val="00F9103E"/>
    <w:rsid w:val="00FB1EBF"/>
    <w:rsid w:val="00FB56F0"/>
    <w:rsid w:val="00FE4990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8E7F-1835-4EA8-BA17-5FC8DAF8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1D19"/>
    <w:pPr>
      <w:keepNext/>
      <w:numPr>
        <w:numId w:val="2"/>
      </w:numPr>
      <w:spacing w:before="120" w:after="60" w:line="240" w:lineRule="auto"/>
      <w:jc w:val="center"/>
      <w:outlineLvl w:val="0"/>
    </w:pPr>
    <w:rPr>
      <w:rFonts w:ascii="Calibri" w:eastAsia="Calibri" w:hAnsi="Calibri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D19"/>
    <w:rPr>
      <w:rFonts w:ascii="Calibri" w:eastAsia="Calibri" w:hAnsi="Calibri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216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2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4645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Елена Юрьевна</dc:creator>
  <cp:keywords/>
  <dc:description/>
  <cp:lastModifiedBy>Панова Елена Юрьевна</cp:lastModifiedBy>
  <cp:revision>42</cp:revision>
  <cp:lastPrinted>2024-06-21T09:02:00Z</cp:lastPrinted>
  <dcterms:created xsi:type="dcterms:W3CDTF">2023-05-24T06:40:00Z</dcterms:created>
  <dcterms:modified xsi:type="dcterms:W3CDTF">2024-07-04T08:27:00Z</dcterms:modified>
</cp:coreProperties>
</file>