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CE356F" w:rsidRPr="00CE356F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29:16:020401:24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r w:rsidR="00CE356F" w:rsidRPr="00CE356F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д. Куя, д. 7</w:t>
      </w:r>
      <w:r w:rsidR="00CE356F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</w:p>
    <w:p w:rsidR="00CE356F" w:rsidRDefault="00ED4EFA" w:rsidP="00CE35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r w:rsidR="00CE356F" w:rsidRPr="00CE3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Куя, д. 7</w:t>
      </w:r>
      <w:r w:rsidR="00CE3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CE35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CE356F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2024-04-15T12:02:00Z</dcterms:modified>
</cp:coreProperties>
</file>